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22A0" w14:textId="56004BC4" w:rsidR="00AC1D29" w:rsidRPr="0075636E" w:rsidRDefault="0075636E" w:rsidP="00AC1D29">
      <w:pPr>
        <w:jc w:val="center"/>
        <w:rPr>
          <w:rFonts w:ascii="Times New Roman" w:hAnsi="Times New Roman" w:cs="Times New Roman"/>
          <w:b/>
          <w:bCs/>
        </w:rPr>
      </w:pPr>
      <w:r w:rsidRPr="0075636E">
        <w:rPr>
          <w:rFonts w:ascii="Times New Roman" w:hAnsi="Times New Roman" w:cs="Times New Roman"/>
          <w:b/>
          <w:bCs/>
        </w:rPr>
        <w:t>Arvamus t</w:t>
      </w:r>
      <w:r w:rsidR="00AC1D29" w:rsidRPr="0075636E">
        <w:rPr>
          <w:rFonts w:ascii="Times New Roman" w:hAnsi="Times New Roman" w:cs="Times New Roman"/>
          <w:b/>
          <w:bCs/>
        </w:rPr>
        <w:t xml:space="preserve">siviilkohtumenetluse seadustiku ja teiste seaduste muutmise seaduse eelnõu </w:t>
      </w:r>
      <w:r w:rsidRPr="0075636E">
        <w:rPr>
          <w:rFonts w:ascii="Times New Roman" w:hAnsi="Times New Roman" w:cs="Times New Roman"/>
          <w:b/>
          <w:bCs/>
        </w:rPr>
        <w:t>kohta</w:t>
      </w:r>
    </w:p>
    <w:p w14:paraId="5855DC4A" w14:textId="77777777" w:rsidR="0075636E" w:rsidRPr="00AC1D29" w:rsidRDefault="0075636E" w:rsidP="0075636E">
      <w:pPr>
        <w:rPr>
          <w:rFonts w:ascii="Times New Roman" w:hAnsi="Times New Roman" w:cs="Times New Roman"/>
        </w:rPr>
      </w:pPr>
    </w:p>
    <w:p w14:paraId="06F598BC" w14:textId="70E37F4F" w:rsidR="00AC1D29" w:rsidRDefault="00AC1D29" w:rsidP="00AC1D29">
      <w:pPr>
        <w:jc w:val="both"/>
        <w:rPr>
          <w:rFonts w:ascii="Times New Roman" w:hAnsi="Times New Roman" w:cs="Times New Roman"/>
        </w:rPr>
      </w:pPr>
      <w:r>
        <w:rPr>
          <w:rFonts w:ascii="Times New Roman" w:hAnsi="Times New Roman" w:cs="Times New Roman"/>
        </w:rPr>
        <w:t>Eelnõu eesmärk on optimeerida kohtute töökoormust, tõhustada tööd ja kiirendada menetlusi.</w:t>
      </w:r>
      <w:r w:rsidR="00A26EE3">
        <w:rPr>
          <w:rFonts w:ascii="Times New Roman" w:hAnsi="Times New Roman" w:cs="Times New Roman"/>
        </w:rPr>
        <w:t xml:space="preserve"> Kokkuvõttes ei sisalda eelnõu suuremas jaos selliseid muudatusi, mis seda eesmärki täidaks. Vastupidi, maksekäsuosakonna tööd puudutavad muudatused nende töökoormust ilmselt suurendavad, kuid nende muudatuste eesmärk on tagada tarbijakrediidilepingutest tulenevates nõuetes senisest tõhusam vastutustundliku laenamise põhimõtte järgimise kontroll.</w:t>
      </w:r>
      <w:r w:rsidR="005703B4">
        <w:rPr>
          <w:rFonts w:ascii="Times New Roman" w:hAnsi="Times New Roman" w:cs="Times New Roman"/>
        </w:rPr>
        <w:t xml:space="preserve"> Samuti suureneb kohtute koormus tagasivõitmise aluste laiendamise ja pankrotimenetluses senisest suurem</w:t>
      </w:r>
      <w:r w:rsidR="00F6673A">
        <w:rPr>
          <w:rFonts w:ascii="Times New Roman" w:hAnsi="Times New Roman" w:cs="Times New Roman"/>
        </w:rPr>
        <w:t xml:space="preserve"> kontroll</w:t>
      </w:r>
      <w:r w:rsidR="001C0A61">
        <w:rPr>
          <w:rFonts w:ascii="Times New Roman" w:hAnsi="Times New Roman" w:cs="Times New Roman"/>
        </w:rPr>
        <w:t>, kuid vastav analüüs eelnõu seletuskirjas puudub.</w:t>
      </w:r>
      <w:r w:rsidR="00F6673A">
        <w:rPr>
          <w:rFonts w:ascii="Times New Roman" w:hAnsi="Times New Roman" w:cs="Times New Roman"/>
        </w:rPr>
        <w:t xml:space="preserve"> </w:t>
      </w:r>
    </w:p>
    <w:p w14:paraId="6783E40A" w14:textId="77777777" w:rsidR="0012304D" w:rsidRPr="0012304D" w:rsidRDefault="0012304D" w:rsidP="0012304D">
      <w:pPr>
        <w:pStyle w:val="Loendilik"/>
        <w:numPr>
          <w:ilvl w:val="0"/>
          <w:numId w:val="2"/>
        </w:numPr>
        <w:jc w:val="both"/>
        <w:rPr>
          <w:rFonts w:ascii="Times New Roman" w:hAnsi="Times New Roman" w:cs="Times New Roman"/>
          <w:b/>
          <w:bCs/>
        </w:rPr>
      </w:pPr>
      <w:r w:rsidRPr="0012304D">
        <w:rPr>
          <w:rFonts w:ascii="Times New Roman" w:hAnsi="Times New Roman" w:cs="Times New Roman"/>
          <w:b/>
          <w:bCs/>
        </w:rPr>
        <w:t>Eelnõu § 1 p 2 (jäetakse menetlusseadustikust välja senine regulatsioon, mille kohaselt kuulus  tarbijakrediidilepingust tulenevas nõudes esitatud maksekäsu kiirmenetluse avalduse rahuldamata jätmisel korral riigilõiv teatud juhtudel tagastamisele).</w:t>
      </w:r>
    </w:p>
    <w:p w14:paraId="633E5275" w14:textId="01BB114B" w:rsidR="0012304D" w:rsidRPr="0012304D" w:rsidRDefault="0012304D" w:rsidP="0012304D">
      <w:pPr>
        <w:pStyle w:val="Loendilik"/>
        <w:jc w:val="both"/>
        <w:rPr>
          <w:rFonts w:ascii="Times New Roman" w:hAnsi="Times New Roman" w:cs="Times New Roman"/>
        </w:rPr>
      </w:pPr>
      <w:r w:rsidRPr="0012304D">
        <w:rPr>
          <w:rFonts w:ascii="Times New Roman" w:hAnsi="Times New Roman" w:cs="Times New Roman"/>
        </w:rPr>
        <w:t>Toetan.</w:t>
      </w:r>
    </w:p>
    <w:p w14:paraId="4B0BA08B" w14:textId="2DE28797" w:rsidR="00AC1D29" w:rsidRDefault="00A26EE3" w:rsidP="00AC1D29">
      <w:pPr>
        <w:pStyle w:val="Loendilik"/>
        <w:numPr>
          <w:ilvl w:val="0"/>
          <w:numId w:val="2"/>
        </w:numPr>
        <w:jc w:val="both"/>
        <w:rPr>
          <w:rFonts w:ascii="Times New Roman" w:hAnsi="Times New Roman" w:cs="Times New Roman"/>
        </w:rPr>
      </w:pPr>
      <w:r>
        <w:rPr>
          <w:rFonts w:ascii="Times New Roman" w:hAnsi="Times New Roman" w:cs="Times New Roman"/>
          <w:b/>
          <w:bCs/>
        </w:rPr>
        <w:t>Eelnõu § 1 p-d 3 ja 4: (lu</w:t>
      </w:r>
      <w:r w:rsidR="00AC1D29" w:rsidRPr="00AC1D29">
        <w:rPr>
          <w:rFonts w:ascii="Times New Roman" w:hAnsi="Times New Roman" w:cs="Times New Roman"/>
          <w:b/>
          <w:bCs/>
        </w:rPr>
        <w:t>uakse õiguslik alus enam tasutud riigilõivu tagastamiseks kohtu omal algatusel</w:t>
      </w:r>
      <w:r>
        <w:rPr>
          <w:rFonts w:ascii="Times New Roman" w:hAnsi="Times New Roman" w:cs="Times New Roman"/>
          <w:b/>
          <w:bCs/>
        </w:rPr>
        <w:t>)</w:t>
      </w:r>
      <w:r w:rsidR="00AC1D29" w:rsidRPr="00AC1D29">
        <w:rPr>
          <w:rFonts w:ascii="Times New Roman" w:hAnsi="Times New Roman" w:cs="Times New Roman"/>
        </w:rPr>
        <w:t xml:space="preserve">. Ei ole muudatuse vastu, kuid kahtlen, et muudatus tööd optimeerib või kiirendab. Nimelt alati ei ole kohtutel teada, millisele pangakontole riigilõiv tagastada (puudub võimalus kontrollida, milliselt pangakontolt lõiv tasuti, kui menetlusosaline ise ei ole maksekorraldust esitanud). Seega peab kohus ka omal algatusel riigilõivu tagastamise võimaluse korral enne tagastamise määruse tegemist küsima menetlusosaliselt, millisele pangakontole ta riigilõivu tagastamist soovib. </w:t>
      </w:r>
    </w:p>
    <w:p w14:paraId="6A69F0B7" w14:textId="5A8EDF8A" w:rsidR="00AC1D29" w:rsidRDefault="00A26EE3" w:rsidP="00AC1D29">
      <w:pPr>
        <w:pStyle w:val="Loendilik"/>
        <w:numPr>
          <w:ilvl w:val="0"/>
          <w:numId w:val="2"/>
        </w:numPr>
        <w:jc w:val="both"/>
        <w:rPr>
          <w:rFonts w:ascii="Times New Roman" w:hAnsi="Times New Roman" w:cs="Times New Roman"/>
        </w:rPr>
      </w:pPr>
      <w:r>
        <w:rPr>
          <w:rFonts w:ascii="Times New Roman" w:hAnsi="Times New Roman" w:cs="Times New Roman"/>
          <w:b/>
          <w:bCs/>
        </w:rPr>
        <w:t>Eelnõu § 1 p 5 (m</w:t>
      </w:r>
      <w:r w:rsidR="00AC1D29" w:rsidRPr="00AC1D29">
        <w:rPr>
          <w:rFonts w:ascii="Times New Roman" w:hAnsi="Times New Roman" w:cs="Times New Roman"/>
          <w:b/>
          <w:bCs/>
        </w:rPr>
        <w:t xml:space="preserve">enetluskulude kindlaksmääramise määruse </w:t>
      </w:r>
      <w:r>
        <w:rPr>
          <w:rFonts w:ascii="Times New Roman" w:hAnsi="Times New Roman" w:cs="Times New Roman"/>
          <w:b/>
          <w:bCs/>
        </w:rPr>
        <w:t>vaidlustamise piirmäära tõstmine 280 eurolt 500 eurole).</w:t>
      </w:r>
    </w:p>
    <w:p w14:paraId="4FFF410F" w14:textId="5257BBC7" w:rsidR="00AC1D29" w:rsidRDefault="00AC1D29" w:rsidP="00AC1D29">
      <w:pPr>
        <w:pStyle w:val="Loendilik"/>
        <w:jc w:val="both"/>
        <w:rPr>
          <w:rFonts w:ascii="Times New Roman" w:hAnsi="Times New Roman" w:cs="Times New Roman"/>
        </w:rPr>
      </w:pPr>
      <w:r>
        <w:rPr>
          <w:rFonts w:ascii="Times New Roman" w:hAnsi="Times New Roman" w:cs="Times New Roman"/>
        </w:rPr>
        <w:t>Toetan</w:t>
      </w:r>
      <w:r w:rsidR="00A26EE3">
        <w:rPr>
          <w:rFonts w:ascii="Times New Roman" w:hAnsi="Times New Roman" w:cs="Times New Roman"/>
        </w:rPr>
        <w:t>, vähendab määruskaebuste esitamist ja seeläbi kohtute töökoormust.</w:t>
      </w:r>
    </w:p>
    <w:p w14:paraId="2A78E820" w14:textId="501D59E7" w:rsidR="00AC1D29" w:rsidRDefault="00A26EE3" w:rsidP="00AC1D29">
      <w:pPr>
        <w:pStyle w:val="Loendilik"/>
        <w:numPr>
          <w:ilvl w:val="0"/>
          <w:numId w:val="2"/>
        </w:numPr>
        <w:jc w:val="both"/>
        <w:rPr>
          <w:rFonts w:ascii="Times New Roman" w:hAnsi="Times New Roman" w:cs="Times New Roman"/>
          <w:b/>
          <w:bCs/>
        </w:rPr>
      </w:pPr>
      <w:r>
        <w:rPr>
          <w:rFonts w:ascii="Times New Roman" w:hAnsi="Times New Roman" w:cs="Times New Roman"/>
          <w:b/>
          <w:bCs/>
        </w:rPr>
        <w:t>Eelnõu § 1 p-d 6-7 (t</w:t>
      </w:r>
      <w:r w:rsidR="00AC1D29" w:rsidRPr="00AC1D29">
        <w:rPr>
          <w:rFonts w:ascii="Times New Roman" w:hAnsi="Times New Roman" w:cs="Times New Roman"/>
          <w:b/>
          <w:bCs/>
        </w:rPr>
        <w:t>äpsustatakse isikute ringi, kes võivad esitada menetlusabi määruste peale määruskaebuseid. Muudatuse tulemusena jääb Rahandusministeeriumile õigus esitada määruskaebus siis, kui riik on kohtuasjas menetlusosaline</w:t>
      </w:r>
      <w:r>
        <w:rPr>
          <w:rFonts w:ascii="Times New Roman" w:hAnsi="Times New Roman" w:cs="Times New Roman"/>
          <w:b/>
          <w:bCs/>
        </w:rPr>
        <w:t>)</w:t>
      </w:r>
      <w:r w:rsidR="00AC1D29" w:rsidRPr="00AC1D29">
        <w:rPr>
          <w:rFonts w:ascii="Times New Roman" w:hAnsi="Times New Roman" w:cs="Times New Roman"/>
          <w:b/>
          <w:bCs/>
        </w:rPr>
        <w:t>.</w:t>
      </w:r>
    </w:p>
    <w:p w14:paraId="42D0B6AA" w14:textId="77777777" w:rsidR="00AC1D29" w:rsidRDefault="00AC1D29" w:rsidP="00AC1D29">
      <w:pPr>
        <w:pStyle w:val="Loendilik"/>
        <w:jc w:val="both"/>
        <w:rPr>
          <w:rFonts w:ascii="Times New Roman" w:hAnsi="Times New Roman" w:cs="Times New Roman"/>
        </w:rPr>
      </w:pPr>
      <w:r>
        <w:rPr>
          <w:rFonts w:ascii="Times New Roman" w:hAnsi="Times New Roman" w:cs="Times New Roman"/>
        </w:rPr>
        <w:t>Ei ole muudatuse vastu.</w:t>
      </w:r>
    </w:p>
    <w:p w14:paraId="0097CD6C" w14:textId="2EFB71D7" w:rsidR="00AC1D29" w:rsidRPr="008F0FA7" w:rsidRDefault="00A26EE3" w:rsidP="00AC1D29">
      <w:pPr>
        <w:pStyle w:val="Loendilik"/>
        <w:numPr>
          <w:ilvl w:val="0"/>
          <w:numId w:val="2"/>
        </w:numPr>
        <w:jc w:val="both"/>
        <w:rPr>
          <w:rFonts w:ascii="Times New Roman" w:hAnsi="Times New Roman" w:cs="Times New Roman"/>
          <w:b/>
          <w:bCs/>
        </w:rPr>
      </w:pPr>
      <w:r w:rsidRPr="008F0FA7">
        <w:rPr>
          <w:rFonts w:ascii="Times New Roman" w:hAnsi="Times New Roman" w:cs="Times New Roman"/>
          <w:b/>
          <w:bCs/>
        </w:rPr>
        <w:t xml:space="preserve">Eelnõu § 1 p 8 </w:t>
      </w:r>
      <w:r w:rsidR="008F0FA7" w:rsidRPr="008F0FA7">
        <w:rPr>
          <w:rFonts w:ascii="Times New Roman" w:hAnsi="Times New Roman" w:cs="Times New Roman"/>
          <w:b/>
          <w:bCs/>
        </w:rPr>
        <w:t>(</w:t>
      </w:r>
      <w:r w:rsidR="00AC1D29" w:rsidRPr="008F0FA7">
        <w:rPr>
          <w:rFonts w:ascii="Times New Roman" w:hAnsi="Times New Roman" w:cs="Times New Roman"/>
          <w:b/>
          <w:bCs/>
        </w:rPr>
        <w:t>pikendatakse avalduse lahendamise tähtaega praeguselt ühelt tööpäevalt kolme tööpäevani</w:t>
      </w:r>
      <w:r w:rsidR="008F0FA7">
        <w:rPr>
          <w:rFonts w:ascii="Times New Roman" w:hAnsi="Times New Roman" w:cs="Times New Roman"/>
          <w:b/>
          <w:bCs/>
        </w:rPr>
        <w:t>)</w:t>
      </w:r>
      <w:r w:rsidR="00AC1D29" w:rsidRPr="008F0FA7">
        <w:rPr>
          <w:rFonts w:ascii="Times New Roman" w:hAnsi="Times New Roman" w:cs="Times New Roman"/>
          <w:b/>
          <w:bCs/>
        </w:rPr>
        <w:t>.</w:t>
      </w:r>
    </w:p>
    <w:p w14:paraId="4049E0CE" w14:textId="02EF3CC8" w:rsidR="00AC1D29" w:rsidRDefault="00AC1D29" w:rsidP="00AC1D29">
      <w:pPr>
        <w:pStyle w:val="Loendilik"/>
        <w:jc w:val="both"/>
        <w:rPr>
          <w:rFonts w:ascii="Times New Roman" w:hAnsi="Times New Roman" w:cs="Times New Roman"/>
        </w:rPr>
      </w:pPr>
      <w:r>
        <w:rPr>
          <w:rFonts w:ascii="Times New Roman" w:hAnsi="Times New Roman" w:cs="Times New Roman"/>
        </w:rPr>
        <w:t xml:space="preserve">Toetan. Muudatus täidab eelnõu eesmärki </w:t>
      </w:r>
      <w:r w:rsidR="008F0FA7">
        <w:rPr>
          <w:rFonts w:ascii="Times New Roman" w:hAnsi="Times New Roman" w:cs="Times New Roman"/>
        </w:rPr>
        <w:t xml:space="preserve">ja </w:t>
      </w:r>
      <w:r>
        <w:rPr>
          <w:rFonts w:ascii="Times New Roman" w:hAnsi="Times New Roman" w:cs="Times New Roman"/>
        </w:rPr>
        <w:t>võimalda</w:t>
      </w:r>
      <w:r w:rsidR="008F0FA7">
        <w:rPr>
          <w:rFonts w:ascii="Times New Roman" w:hAnsi="Times New Roman" w:cs="Times New Roman"/>
        </w:rPr>
        <w:t xml:space="preserve">b </w:t>
      </w:r>
      <w:r>
        <w:rPr>
          <w:rFonts w:ascii="Times New Roman" w:hAnsi="Times New Roman" w:cs="Times New Roman"/>
        </w:rPr>
        <w:t>kohtunikel tööd optimeerida.</w:t>
      </w:r>
      <w:r w:rsidR="008F0FA7">
        <w:rPr>
          <w:rFonts w:ascii="Times New Roman" w:hAnsi="Times New Roman" w:cs="Times New Roman"/>
        </w:rPr>
        <w:t xml:space="preserve"> Nõus, et muudatus hagejate õiguskaitset ei nõrgenda, sest neil on enamasti võimalik esitada vastav taotlus aegsasti ning eelnõuga ettenähtud aeg võimaldab kohtutel taotluse lahendamisesse süveneda.</w:t>
      </w:r>
    </w:p>
    <w:p w14:paraId="55A8A0F8" w14:textId="0A4D9CC3" w:rsidR="008F0FA7" w:rsidRPr="008F0FA7" w:rsidRDefault="008F0FA7" w:rsidP="00AC1D29">
      <w:pPr>
        <w:pStyle w:val="Loendilik"/>
        <w:numPr>
          <w:ilvl w:val="0"/>
          <w:numId w:val="2"/>
        </w:numPr>
        <w:jc w:val="both"/>
        <w:rPr>
          <w:rFonts w:ascii="Times New Roman" w:hAnsi="Times New Roman" w:cs="Times New Roman"/>
        </w:rPr>
      </w:pPr>
      <w:r w:rsidRPr="008F0FA7">
        <w:rPr>
          <w:rFonts w:ascii="Times New Roman" w:hAnsi="Times New Roman" w:cs="Times New Roman"/>
          <w:b/>
          <w:bCs/>
        </w:rPr>
        <w:t>Eelnõu § 1 p</w:t>
      </w:r>
      <w:r w:rsidR="004803EB">
        <w:rPr>
          <w:rFonts w:ascii="Times New Roman" w:hAnsi="Times New Roman" w:cs="Times New Roman"/>
          <w:b/>
          <w:bCs/>
        </w:rPr>
        <w:t>-d</w:t>
      </w:r>
      <w:r w:rsidRPr="008F0FA7">
        <w:rPr>
          <w:rFonts w:ascii="Times New Roman" w:hAnsi="Times New Roman" w:cs="Times New Roman"/>
          <w:b/>
          <w:bCs/>
        </w:rPr>
        <w:t xml:space="preserve"> 9</w:t>
      </w:r>
      <w:r w:rsidR="004803EB">
        <w:rPr>
          <w:rFonts w:ascii="Times New Roman" w:hAnsi="Times New Roman" w:cs="Times New Roman"/>
          <w:b/>
          <w:bCs/>
        </w:rPr>
        <w:t>,</w:t>
      </w:r>
      <w:r w:rsidRPr="008F0FA7">
        <w:rPr>
          <w:rFonts w:ascii="Times New Roman" w:hAnsi="Times New Roman" w:cs="Times New Roman"/>
          <w:b/>
          <w:bCs/>
        </w:rPr>
        <w:t xml:space="preserve"> 10</w:t>
      </w:r>
      <w:r w:rsidR="004803EB">
        <w:rPr>
          <w:rFonts w:ascii="Times New Roman" w:hAnsi="Times New Roman" w:cs="Times New Roman"/>
          <w:b/>
          <w:bCs/>
        </w:rPr>
        <w:t xml:space="preserve"> ja 19</w:t>
      </w:r>
      <w:r w:rsidRPr="008F0FA7">
        <w:rPr>
          <w:rFonts w:ascii="Times New Roman" w:hAnsi="Times New Roman" w:cs="Times New Roman"/>
          <w:b/>
          <w:bCs/>
        </w:rPr>
        <w:t xml:space="preserve"> (s</w:t>
      </w:r>
      <w:r w:rsidR="00AC1D29" w:rsidRPr="008F0FA7">
        <w:rPr>
          <w:rFonts w:ascii="Times New Roman" w:hAnsi="Times New Roman" w:cs="Times New Roman"/>
          <w:b/>
          <w:bCs/>
        </w:rPr>
        <w:t>uurendatakse lihtmenetluse piirsummat</w:t>
      </w:r>
      <w:r w:rsidRPr="008F0FA7">
        <w:rPr>
          <w:rFonts w:ascii="Times New Roman" w:hAnsi="Times New Roman" w:cs="Times New Roman"/>
          <w:b/>
          <w:bCs/>
        </w:rPr>
        <w:t xml:space="preserve"> ja tühistatakse TsMS § 404)</w:t>
      </w:r>
      <w:r>
        <w:rPr>
          <w:rFonts w:ascii="Times New Roman" w:hAnsi="Times New Roman" w:cs="Times New Roman"/>
          <w:b/>
          <w:bCs/>
        </w:rPr>
        <w:t>.</w:t>
      </w:r>
    </w:p>
    <w:p w14:paraId="1C6460F3" w14:textId="28CE9CC8" w:rsidR="00AC1D29" w:rsidRPr="008F0FA7" w:rsidRDefault="00AC1D29" w:rsidP="008F0FA7">
      <w:pPr>
        <w:pStyle w:val="Loendilik"/>
        <w:jc w:val="both"/>
        <w:rPr>
          <w:rFonts w:ascii="Times New Roman" w:hAnsi="Times New Roman" w:cs="Times New Roman"/>
        </w:rPr>
      </w:pPr>
      <w:r w:rsidRPr="008F0FA7">
        <w:rPr>
          <w:rFonts w:ascii="Times New Roman" w:hAnsi="Times New Roman" w:cs="Times New Roman"/>
        </w:rPr>
        <w:t xml:space="preserve">Ei ole </w:t>
      </w:r>
      <w:r w:rsidR="008F0FA7">
        <w:rPr>
          <w:rFonts w:ascii="Times New Roman" w:hAnsi="Times New Roman" w:cs="Times New Roman"/>
        </w:rPr>
        <w:t xml:space="preserve">muudatuse </w:t>
      </w:r>
      <w:r w:rsidRPr="008F0FA7">
        <w:rPr>
          <w:rFonts w:ascii="Times New Roman" w:hAnsi="Times New Roman" w:cs="Times New Roman"/>
        </w:rPr>
        <w:t>vastu</w:t>
      </w:r>
      <w:r w:rsidR="008F0FA7">
        <w:rPr>
          <w:rFonts w:ascii="Times New Roman" w:hAnsi="Times New Roman" w:cs="Times New Roman"/>
        </w:rPr>
        <w:t>. M</w:t>
      </w:r>
      <w:r w:rsidRPr="008F0FA7">
        <w:rPr>
          <w:rFonts w:ascii="Times New Roman" w:hAnsi="Times New Roman" w:cs="Times New Roman"/>
        </w:rPr>
        <w:t>õju</w:t>
      </w:r>
      <w:r w:rsidR="008F0FA7">
        <w:rPr>
          <w:rFonts w:ascii="Times New Roman" w:hAnsi="Times New Roman" w:cs="Times New Roman"/>
        </w:rPr>
        <w:t xml:space="preserve"> kohtute</w:t>
      </w:r>
      <w:r w:rsidR="00E6614E" w:rsidRPr="008F0FA7">
        <w:rPr>
          <w:rFonts w:ascii="Times New Roman" w:hAnsi="Times New Roman" w:cs="Times New Roman"/>
        </w:rPr>
        <w:t xml:space="preserve"> töö kiirendamisele</w:t>
      </w:r>
      <w:r w:rsidRPr="008F0FA7">
        <w:rPr>
          <w:rFonts w:ascii="Times New Roman" w:hAnsi="Times New Roman" w:cs="Times New Roman"/>
        </w:rPr>
        <w:t xml:space="preserve"> ilmselt väga suur ei ole, kuna lihtsustused, mida lihtmenetluses teha saab, on piiratud.</w:t>
      </w:r>
    </w:p>
    <w:p w14:paraId="72FE6D61" w14:textId="0A21930C" w:rsidR="00AC1D29" w:rsidRDefault="008F0FA7" w:rsidP="00E6614E">
      <w:pPr>
        <w:pStyle w:val="Loendilik"/>
        <w:numPr>
          <w:ilvl w:val="0"/>
          <w:numId w:val="2"/>
        </w:numPr>
        <w:jc w:val="both"/>
        <w:rPr>
          <w:rFonts w:ascii="Times New Roman" w:hAnsi="Times New Roman" w:cs="Times New Roman"/>
          <w:b/>
          <w:bCs/>
        </w:rPr>
      </w:pPr>
      <w:r>
        <w:rPr>
          <w:rFonts w:ascii="Times New Roman" w:hAnsi="Times New Roman" w:cs="Times New Roman"/>
          <w:b/>
          <w:bCs/>
        </w:rPr>
        <w:lastRenderedPageBreak/>
        <w:t>Eelnõu § 1 p 11 (m</w:t>
      </w:r>
      <w:r w:rsidR="00E6614E" w:rsidRPr="00E6614E">
        <w:rPr>
          <w:rFonts w:ascii="Times New Roman" w:hAnsi="Times New Roman" w:cs="Times New Roman"/>
          <w:b/>
          <w:bCs/>
        </w:rPr>
        <w:t>uudetakse tagaseljaotsuse peale kaja esitamise regulatsiooni. Muudatuse eesmärk on siduda tähtaja algus lahendist, mitte täitemenetlusest teadasaamisega</w:t>
      </w:r>
      <w:r>
        <w:rPr>
          <w:rFonts w:ascii="Times New Roman" w:hAnsi="Times New Roman" w:cs="Times New Roman"/>
          <w:b/>
          <w:bCs/>
        </w:rPr>
        <w:t>)</w:t>
      </w:r>
      <w:r w:rsidR="00E6614E">
        <w:rPr>
          <w:rFonts w:ascii="Times New Roman" w:hAnsi="Times New Roman" w:cs="Times New Roman"/>
          <w:b/>
          <w:bCs/>
        </w:rPr>
        <w:t>.</w:t>
      </w:r>
    </w:p>
    <w:p w14:paraId="31094E46" w14:textId="6272CE42" w:rsidR="00E6614E" w:rsidRDefault="00E6614E" w:rsidP="00E6614E">
      <w:pPr>
        <w:pStyle w:val="Loendilik"/>
        <w:jc w:val="both"/>
        <w:rPr>
          <w:rFonts w:ascii="Times New Roman" w:hAnsi="Times New Roman" w:cs="Times New Roman"/>
        </w:rPr>
      </w:pPr>
      <w:r>
        <w:rPr>
          <w:rFonts w:ascii="Times New Roman" w:hAnsi="Times New Roman" w:cs="Times New Roman"/>
        </w:rPr>
        <w:t>Toetan ettepanekut.</w:t>
      </w:r>
    </w:p>
    <w:p w14:paraId="32EF13A4" w14:textId="626C4B4D" w:rsidR="008F0FA7" w:rsidRPr="008F0FA7" w:rsidRDefault="008F0FA7" w:rsidP="008F0FA7">
      <w:pPr>
        <w:pStyle w:val="Loendilik"/>
        <w:numPr>
          <w:ilvl w:val="0"/>
          <w:numId w:val="2"/>
        </w:numPr>
        <w:jc w:val="both"/>
        <w:rPr>
          <w:rFonts w:ascii="Times New Roman" w:hAnsi="Times New Roman" w:cs="Times New Roman"/>
          <w:b/>
          <w:bCs/>
        </w:rPr>
      </w:pPr>
      <w:r>
        <w:rPr>
          <w:rFonts w:ascii="Times New Roman" w:hAnsi="Times New Roman" w:cs="Times New Roman"/>
          <w:b/>
          <w:bCs/>
        </w:rPr>
        <w:t>Eelnõu § 1 p 12 (p</w:t>
      </w:r>
      <w:r w:rsidRPr="008F0FA7">
        <w:rPr>
          <w:rFonts w:ascii="Times New Roman" w:hAnsi="Times New Roman" w:cs="Times New Roman"/>
          <w:b/>
          <w:bCs/>
        </w:rPr>
        <w:t>iiratakse tarbijakrediidilepingust tulenevate nõuete esitamist maksekäsu kiirmenetluses selliselt, et on võimalik nõuda põhivõlgnevust ja seadusjärgset intressi ning seadusjärgset viivist; sama võlasuhte raames tarbija tehtud tagasimaksed arvestatakse maksekäsu kiirmenetluses ümber ning loetakse tasutuks esimeses järjekorras põhivõlgnevuse ning seejärel seadusjärgse intressi ja seadusjärgse viivise katteks</w:t>
      </w:r>
      <w:r w:rsidR="00AC0D39">
        <w:rPr>
          <w:rFonts w:ascii="Times New Roman" w:hAnsi="Times New Roman" w:cs="Times New Roman"/>
          <w:b/>
          <w:bCs/>
        </w:rPr>
        <w:t>)</w:t>
      </w:r>
    </w:p>
    <w:p w14:paraId="18D146B5" w14:textId="4A8FF5FA" w:rsidR="008F0FA7" w:rsidRPr="00AC0D39" w:rsidRDefault="00AC0D39" w:rsidP="00AC0D39">
      <w:pPr>
        <w:pStyle w:val="Loendilik"/>
        <w:jc w:val="both"/>
        <w:rPr>
          <w:rFonts w:ascii="Times New Roman" w:hAnsi="Times New Roman" w:cs="Times New Roman"/>
        </w:rPr>
      </w:pPr>
      <w:r>
        <w:rPr>
          <w:rFonts w:ascii="Times New Roman" w:hAnsi="Times New Roman" w:cs="Times New Roman"/>
        </w:rPr>
        <w:t>Kaaluda tuleks „põhivõla“ mõiste defineerimist,</w:t>
      </w:r>
      <w:r w:rsidR="008F0FA7" w:rsidRPr="00AC0D39">
        <w:rPr>
          <w:rFonts w:ascii="Times New Roman" w:hAnsi="Times New Roman" w:cs="Times New Roman"/>
        </w:rPr>
        <w:t xml:space="preserve"> et tagada, et „põhivõla“ hulka ei lisataks muid kõrvalnõudeid, nt võla sissenõudmiskulud.</w:t>
      </w:r>
    </w:p>
    <w:p w14:paraId="6A0EF377" w14:textId="11A88F07" w:rsidR="00EE2F65" w:rsidRPr="00EE2F65" w:rsidRDefault="00EE2F65" w:rsidP="00EE2F65">
      <w:pPr>
        <w:pStyle w:val="Loendilik"/>
        <w:numPr>
          <w:ilvl w:val="0"/>
          <w:numId w:val="2"/>
        </w:numPr>
        <w:jc w:val="both"/>
        <w:rPr>
          <w:rFonts w:ascii="Times New Roman" w:hAnsi="Times New Roman" w:cs="Times New Roman"/>
          <w:b/>
          <w:bCs/>
        </w:rPr>
      </w:pPr>
      <w:r>
        <w:rPr>
          <w:rFonts w:ascii="Times New Roman" w:hAnsi="Times New Roman" w:cs="Times New Roman"/>
          <w:b/>
          <w:bCs/>
        </w:rPr>
        <w:t>Eelnõu § 1 p 13 (n</w:t>
      </w:r>
      <w:r w:rsidRPr="00EE2F65">
        <w:rPr>
          <w:rFonts w:ascii="Times New Roman" w:hAnsi="Times New Roman" w:cs="Times New Roman"/>
          <w:b/>
          <w:bCs/>
        </w:rPr>
        <w:t>ähakse ette, et tarbijakrediidilepingust tulenevate nõuete menetlemiseks maksekäsu kiirmenetluses tuleb kohtule esitada vajalik info ja dokumendid</w:t>
      </w:r>
      <w:r>
        <w:rPr>
          <w:rFonts w:ascii="Times New Roman" w:hAnsi="Times New Roman" w:cs="Times New Roman"/>
          <w:b/>
          <w:bCs/>
        </w:rPr>
        <w:t>)</w:t>
      </w:r>
    </w:p>
    <w:p w14:paraId="148B1585" w14:textId="34CFC733" w:rsidR="008F0FA7" w:rsidRDefault="00EE2F65" w:rsidP="00EE2F65">
      <w:pPr>
        <w:pStyle w:val="Loendilik"/>
        <w:jc w:val="both"/>
        <w:rPr>
          <w:rFonts w:ascii="Times New Roman" w:hAnsi="Times New Roman" w:cs="Times New Roman"/>
        </w:rPr>
      </w:pPr>
      <w:r w:rsidRPr="00EE2F65">
        <w:rPr>
          <w:rFonts w:ascii="Times New Roman" w:hAnsi="Times New Roman" w:cs="Times New Roman"/>
        </w:rPr>
        <w:t>Puudutab maksekäsuosakonna tööd.</w:t>
      </w:r>
    </w:p>
    <w:p w14:paraId="7AEA6C4F" w14:textId="5F68F8F2" w:rsidR="00EE2F65" w:rsidRPr="00EE2F65" w:rsidRDefault="00EE2F65" w:rsidP="00EE2F65">
      <w:pPr>
        <w:pStyle w:val="Loendilik"/>
        <w:numPr>
          <w:ilvl w:val="0"/>
          <w:numId w:val="2"/>
        </w:numPr>
        <w:jc w:val="both"/>
        <w:rPr>
          <w:rFonts w:ascii="Times New Roman" w:hAnsi="Times New Roman" w:cs="Times New Roman"/>
          <w:b/>
          <w:bCs/>
        </w:rPr>
      </w:pPr>
      <w:r>
        <w:rPr>
          <w:rFonts w:ascii="Times New Roman" w:hAnsi="Times New Roman" w:cs="Times New Roman"/>
          <w:b/>
          <w:bCs/>
        </w:rPr>
        <w:t>Eelnõu § 1 p 14 (p</w:t>
      </w:r>
      <w:r w:rsidRPr="00EE2F65">
        <w:rPr>
          <w:rFonts w:ascii="Times New Roman" w:hAnsi="Times New Roman" w:cs="Times New Roman"/>
          <w:b/>
          <w:bCs/>
        </w:rPr>
        <w:t>ikendatakse tarbijakrediidilepingust tulenevate nõuete alusel makseettepaneku tegemise tähtaega seniselt kümnelt päevalt kahekümnele päevale</w:t>
      </w:r>
      <w:r>
        <w:rPr>
          <w:rFonts w:ascii="Times New Roman" w:hAnsi="Times New Roman" w:cs="Times New Roman"/>
          <w:b/>
          <w:bCs/>
        </w:rPr>
        <w:t>)</w:t>
      </w:r>
      <w:r w:rsidRPr="00EE2F65">
        <w:rPr>
          <w:rFonts w:ascii="Times New Roman" w:hAnsi="Times New Roman" w:cs="Times New Roman"/>
          <w:b/>
          <w:bCs/>
        </w:rPr>
        <w:t xml:space="preserve">. </w:t>
      </w:r>
    </w:p>
    <w:p w14:paraId="0E4A0B0A" w14:textId="77777777" w:rsidR="00EE2F65" w:rsidRPr="00EE2F65" w:rsidRDefault="00EE2F65" w:rsidP="00EE2F65">
      <w:pPr>
        <w:pStyle w:val="Loendilik"/>
        <w:jc w:val="both"/>
        <w:rPr>
          <w:rFonts w:ascii="Times New Roman" w:hAnsi="Times New Roman" w:cs="Times New Roman"/>
        </w:rPr>
      </w:pPr>
      <w:r w:rsidRPr="00EE2F65">
        <w:rPr>
          <w:rFonts w:ascii="Times New Roman" w:hAnsi="Times New Roman" w:cs="Times New Roman"/>
        </w:rPr>
        <w:t>Puudutab maksekäsuosakonna tööd.</w:t>
      </w:r>
    </w:p>
    <w:p w14:paraId="41D213D3" w14:textId="6AF1361A" w:rsidR="00EE2F65" w:rsidRPr="00EE2F65" w:rsidRDefault="00EE2F65" w:rsidP="00EE2F65">
      <w:pPr>
        <w:pStyle w:val="Loendilik"/>
        <w:numPr>
          <w:ilvl w:val="0"/>
          <w:numId w:val="2"/>
        </w:numPr>
        <w:jc w:val="both"/>
        <w:rPr>
          <w:rFonts w:ascii="Times New Roman" w:hAnsi="Times New Roman" w:cs="Times New Roman"/>
          <w:b/>
          <w:bCs/>
        </w:rPr>
      </w:pPr>
      <w:r w:rsidRPr="00EE2F65">
        <w:rPr>
          <w:rFonts w:ascii="Times New Roman" w:hAnsi="Times New Roman" w:cs="Times New Roman"/>
          <w:b/>
          <w:bCs/>
        </w:rPr>
        <w:t>Eelnõu § 1 p 1</w:t>
      </w:r>
      <w:r>
        <w:rPr>
          <w:rFonts w:ascii="Times New Roman" w:hAnsi="Times New Roman" w:cs="Times New Roman"/>
          <w:b/>
          <w:bCs/>
        </w:rPr>
        <w:t>5</w:t>
      </w:r>
      <w:r w:rsidRPr="00EE2F65">
        <w:t xml:space="preserve"> </w:t>
      </w:r>
      <w:r>
        <w:rPr>
          <w:rFonts w:ascii="Times New Roman" w:hAnsi="Times New Roman" w:cs="Times New Roman"/>
          <w:b/>
          <w:bCs/>
        </w:rPr>
        <w:t>(n</w:t>
      </w:r>
      <w:r w:rsidRPr="00EE2F65">
        <w:rPr>
          <w:rFonts w:ascii="Times New Roman" w:hAnsi="Times New Roman" w:cs="Times New Roman"/>
          <w:b/>
          <w:bCs/>
        </w:rPr>
        <w:t>ähakse ette, et juhul kui maksekäsu kiirmenetluses esitatud tarbijakrediidilepingust tuleneva nõude avaldus ei vasta seaduses sätestatud nõuetele, ei nõua kohus puuduste kõrvaldamist, vaid jätab avalduse rahuldamata</w:t>
      </w:r>
      <w:r>
        <w:rPr>
          <w:rFonts w:ascii="Times New Roman" w:hAnsi="Times New Roman" w:cs="Times New Roman"/>
          <w:b/>
          <w:bCs/>
        </w:rPr>
        <w:t>)</w:t>
      </w:r>
      <w:r w:rsidRPr="00EE2F65">
        <w:rPr>
          <w:rFonts w:ascii="Times New Roman" w:hAnsi="Times New Roman" w:cs="Times New Roman"/>
          <w:b/>
          <w:bCs/>
        </w:rPr>
        <w:t xml:space="preserve">. </w:t>
      </w:r>
    </w:p>
    <w:p w14:paraId="334F5AB2" w14:textId="77777777" w:rsidR="00EE2F65" w:rsidRPr="00EE2F65" w:rsidRDefault="00EE2F65" w:rsidP="00EE2F65">
      <w:pPr>
        <w:pStyle w:val="Loendilik"/>
        <w:jc w:val="both"/>
        <w:rPr>
          <w:rFonts w:ascii="Times New Roman" w:hAnsi="Times New Roman" w:cs="Times New Roman"/>
        </w:rPr>
      </w:pPr>
      <w:r w:rsidRPr="00EE2F65">
        <w:rPr>
          <w:rFonts w:ascii="Times New Roman" w:hAnsi="Times New Roman" w:cs="Times New Roman"/>
        </w:rPr>
        <w:t>Puudutab maksekäsuosakonna tööd.</w:t>
      </w:r>
    </w:p>
    <w:p w14:paraId="5018A64C" w14:textId="289EE4A6" w:rsidR="00EE2F65" w:rsidRDefault="00EE2F65" w:rsidP="00EE2F65">
      <w:pPr>
        <w:pStyle w:val="Loendilik"/>
        <w:numPr>
          <w:ilvl w:val="0"/>
          <w:numId w:val="2"/>
        </w:numPr>
        <w:jc w:val="both"/>
        <w:rPr>
          <w:rFonts w:ascii="Times New Roman" w:hAnsi="Times New Roman" w:cs="Times New Roman"/>
          <w:b/>
          <w:bCs/>
        </w:rPr>
      </w:pPr>
      <w:r w:rsidRPr="00EE2F65">
        <w:rPr>
          <w:rFonts w:ascii="Times New Roman" w:hAnsi="Times New Roman" w:cs="Times New Roman"/>
          <w:b/>
          <w:bCs/>
        </w:rPr>
        <w:t>Eelnõu § 1 p 1</w:t>
      </w:r>
      <w:r>
        <w:rPr>
          <w:rFonts w:ascii="Times New Roman" w:hAnsi="Times New Roman" w:cs="Times New Roman"/>
          <w:b/>
          <w:bCs/>
        </w:rPr>
        <w:t xml:space="preserve">6 </w:t>
      </w:r>
      <w:r w:rsidR="004803EB">
        <w:rPr>
          <w:rFonts w:ascii="Times New Roman" w:hAnsi="Times New Roman" w:cs="Times New Roman"/>
          <w:b/>
          <w:bCs/>
        </w:rPr>
        <w:t>(t</w:t>
      </w:r>
      <w:r w:rsidRPr="00EE2F65">
        <w:rPr>
          <w:rFonts w:ascii="Times New Roman" w:hAnsi="Times New Roman" w:cs="Times New Roman"/>
          <w:b/>
          <w:bCs/>
        </w:rPr>
        <w:t>äpsustatakse tarbijate piirarvu regulatsiooni õiguskaitsemeetme määramise esindushagi menetlemisel ja seotakse see kohtu poolt menetlusse lubatud pädeva üksuse esitatud õiguskaitsemeetme määramise esindushagi menetlemise lubatavusega</w:t>
      </w:r>
      <w:r w:rsidR="004803EB">
        <w:rPr>
          <w:rFonts w:ascii="Times New Roman" w:hAnsi="Times New Roman" w:cs="Times New Roman"/>
          <w:b/>
          <w:bCs/>
        </w:rPr>
        <w:t>).</w:t>
      </w:r>
    </w:p>
    <w:p w14:paraId="5F3B9575" w14:textId="6B496FA6" w:rsidR="004803EB" w:rsidRDefault="004803EB" w:rsidP="004803EB">
      <w:pPr>
        <w:pStyle w:val="Loendilik"/>
        <w:jc w:val="both"/>
        <w:rPr>
          <w:rFonts w:ascii="Times New Roman" w:hAnsi="Times New Roman" w:cs="Times New Roman"/>
        </w:rPr>
      </w:pPr>
      <w:r>
        <w:rPr>
          <w:rFonts w:ascii="Times New Roman" w:hAnsi="Times New Roman" w:cs="Times New Roman"/>
        </w:rPr>
        <w:t>Piirarvu osas toetan, muus osas ei oska arvamust kujundada.</w:t>
      </w:r>
    </w:p>
    <w:p w14:paraId="5C33AE98" w14:textId="5E63757B" w:rsidR="004803EB" w:rsidRDefault="004803EB" w:rsidP="004803EB">
      <w:pPr>
        <w:pStyle w:val="Loendilik"/>
        <w:numPr>
          <w:ilvl w:val="0"/>
          <w:numId w:val="2"/>
        </w:numPr>
        <w:jc w:val="both"/>
        <w:rPr>
          <w:rFonts w:ascii="Times New Roman" w:hAnsi="Times New Roman" w:cs="Times New Roman"/>
          <w:b/>
          <w:bCs/>
        </w:rPr>
      </w:pPr>
      <w:r w:rsidRPr="004803EB">
        <w:rPr>
          <w:rFonts w:ascii="Times New Roman" w:hAnsi="Times New Roman" w:cs="Times New Roman"/>
          <w:b/>
          <w:bCs/>
        </w:rPr>
        <w:t>Eelnõu § 1 p 1</w:t>
      </w:r>
      <w:r>
        <w:rPr>
          <w:rFonts w:ascii="Times New Roman" w:hAnsi="Times New Roman" w:cs="Times New Roman"/>
          <w:b/>
          <w:bCs/>
        </w:rPr>
        <w:t>7 (surnuks tunnistamise asjades teatab kohus valdkonna eest vastutava ministri volitatud asutusele menetluse algatamisest ja küsib andmeid).</w:t>
      </w:r>
    </w:p>
    <w:p w14:paraId="620391BC" w14:textId="54FF7917" w:rsidR="004803EB" w:rsidRPr="004803EB" w:rsidRDefault="004803EB" w:rsidP="004803EB">
      <w:pPr>
        <w:pStyle w:val="Loendilik"/>
        <w:jc w:val="both"/>
        <w:rPr>
          <w:rFonts w:ascii="Times New Roman" w:hAnsi="Times New Roman" w:cs="Times New Roman"/>
        </w:rPr>
      </w:pPr>
      <w:r>
        <w:rPr>
          <w:rFonts w:ascii="Times New Roman" w:hAnsi="Times New Roman" w:cs="Times New Roman"/>
        </w:rPr>
        <w:t xml:space="preserve">Ei ole muudatuse vastu, kuid võiks olla selge viis, kuidas kohtuid teavitatakse või kust kohtud kontrollivad, milline on </w:t>
      </w:r>
      <w:r w:rsidRPr="004803EB">
        <w:rPr>
          <w:rFonts w:ascii="Times New Roman" w:hAnsi="Times New Roman" w:cs="Times New Roman"/>
        </w:rPr>
        <w:t>volitatud asutus</w:t>
      </w:r>
      <w:r>
        <w:rPr>
          <w:rFonts w:ascii="Times New Roman" w:hAnsi="Times New Roman" w:cs="Times New Roman"/>
        </w:rPr>
        <w:t>, keda kohtud peavad teavitama.</w:t>
      </w:r>
      <w:r w:rsidRPr="004803EB">
        <w:rPr>
          <w:rFonts w:ascii="Times New Roman" w:hAnsi="Times New Roman" w:cs="Times New Roman"/>
        </w:rPr>
        <w:t xml:space="preserve"> </w:t>
      </w:r>
    </w:p>
    <w:p w14:paraId="1BB9B2C7" w14:textId="5F8DCFA2" w:rsidR="004803EB" w:rsidRDefault="008F0FA7" w:rsidP="00E6614E">
      <w:pPr>
        <w:pStyle w:val="Loendilik"/>
        <w:numPr>
          <w:ilvl w:val="0"/>
          <w:numId w:val="2"/>
        </w:numPr>
        <w:jc w:val="both"/>
        <w:rPr>
          <w:rFonts w:ascii="Times New Roman" w:hAnsi="Times New Roman" w:cs="Times New Roman"/>
          <w:b/>
          <w:bCs/>
        </w:rPr>
      </w:pPr>
      <w:r>
        <w:rPr>
          <w:rFonts w:ascii="Times New Roman" w:hAnsi="Times New Roman" w:cs="Times New Roman"/>
          <w:b/>
          <w:bCs/>
        </w:rPr>
        <w:t xml:space="preserve">Eelnõu § 1 p </w:t>
      </w:r>
      <w:r w:rsidR="004803EB">
        <w:rPr>
          <w:rFonts w:ascii="Times New Roman" w:hAnsi="Times New Roman" w:cs="Times New Roman"/>
          <w:b/>
          <w:bCs/>
        </w:rPr>
        <w:t>18 (surnuks tunnistamise asjades ei pea edaspidi määrust edastama Siseministeeriumile).</w:t>
      </w:r>
    </w:p>
    <w:p w14:paraId="3237AE95" w14:textId="7E8C985B" w:rsidR="004803EB" w:rsidRDefault="004803EB" w:rsidP="004803EB">
      <w:pPr>
        <w:pStyle w:val="Loendilik"/>
        <w:jc w:val="both"/>
        <w:rPr>
          <w:rFonts w:ascii="Times New Roman" w:hAnsi="Times New Roman" w:cs="Times New Roman"/>
        </w:rPr>
      </w:pPr>
      <w:r>
        <w:rPr>
          <w:rFonts w:ascii="Times New Roman" w:hAnsi="Times New Roman" w:cs="Times New Roman"/>
        </w:rPr>
        <w:t>Toetan muudatust.</w:t>
      </w:r>
    </w:p>
    <w:p w14:paraId="2829657C" w14:textId="6EEF5906" w:rsidR="00E6614E" w:rsidRPr="004803EB" w:rsidRDefault="004803EB" w:rsidP="00E6614E">
      <w:pPr>
        <w:pStyle w:val="Loendilik"/>
        <w:numPr>
          <w:ilvl w:val="0"/>
          <w:numId w:val="2"/>
        </w:numPr>
        <w:jc w:val="both"/>
        <w:rPr>
          <w:rFonts w:ascii="Times New Roman" w:hAnsi="Times New Roman" w:cs="Times New Roman"/>
          <w:b/>
          <w:bCs/>
        </w:rPr>
      </w:pPr>
      <w:r w:rsidRPr="004803EB">
        <w:rPr>
          <w:rFonts w:ascii="Times New Roman" w:hAnsi="Times New Roman" w:cs="Times New Roman"/>
          <w:b/>
          <w:bCs/>
        </w:rPr>
        <w:t>Eelnõu § 1 p 20</w:t>
      </w:r>
      <w:r w:rsidR="008F0FA7" w:rsidRPr="004803EB">
        <w:rPr>
          <w:rFonts w:ascii="Times New Roman" w:hAnsi="Times New Roman" w:cs="Times New Roman"/>
          <w:b/>
          <w:bCs/>
        </w:rPr>
        <w:t xml:space="preserve"> </w:t>
      </w:r>
      <w:r w:rsidR="00A743BC">
        <w:rPr>
          <w:rFonts w:ascii="Times New Roman" w:hAnsi="Times New Roman" w:cs="Times New Roman"/>
          <w:b/>
          <w:bCs/>
        </w:rPr>
        <w:t xml:space="preserve">ja § 4 p 1 </w:t>
      </w:r>
      <w:r w:rsidR="008F0FA7" w:rsidRPr="004803EB">
        <w:rPr>
          <w:rFonts w:ascii="Times New Roman" w:hAnsi="Times New Roman" w:cs="Times New Roman"/>
          <w:b/>
          <w:bCs/>
        </w:rPr>
        <w:t>(</w:t>
      </w:r>
      <w:r>
        <w:rPr>
          <w:rFonts w:ascii="Times New Roman" w:hAnsi="Times New Roman" w:cs="Times New Roman"/>
          <w:b/>
          <w:bCs/>
        </w:rPr>
        <w:t>t</w:t>
      </w:r>
      <w:r w:rsidR="00E6614E" w:rsidRPr="004803EB">
        <w:rPr>
          <w:rFonts w:ascii="Times New Roman" w:hAnsi="Times New Roman" w:cs="Times New Roman"/>
          <w:b/>
          <w:bCs/>
        </w:rPr>
        <w:t>eatud liiki hagita menetlustes tehtud lõpplahendite peale esitatud määruskaebused vaatab läbi üks ringkonnakohtunik</w:t>
      </w:r>
      <w:r>
        <w:rPr>
          <w:rFonts w:ascii="Times New Roman" w:hAnsi="Times New Roman" w:cs="Times New Roman"/>
          <w:b/>
          <w:bCs/>
        </w:rPr>
        <w:t>).</w:t>
      </w:r>
    </w:p>
    <w:p w14:paraId="6548A167" w14:textId="290FAF68" w:rsidR="00E6614E" w:rsidRDefault="00E6614E" w:rsidP="00E6614E">
      <w:pPr>
        <w:pStyle w:val="Loendilik"/>
        <w:jc w:val="both"/>
        <w:rPr>
          <w:rFonts w:ascii="Times New Roman" w:hAnsi="Times New Roman" w:cs="Times New Roman"/>
        </w:rPr>
      </w:pPr>
      <w:r>
        <w:rPr>
          <w:rFonts w:ascii="Times New Roman" w:hAnsi="Times New Roman" w:cs="Times New Roman"/>
        </w:rPr>
        <w:t>Puudutab ringkonnakohtuid</w:t>
      </w:r>
      <w:r w:rsidR="004803EB">
        <w:rPr>
          <w:rFonts w:ascii="Times New Roman" w:hAnsi="Times New Roman" w:cs="Times New Roman"/>
        </w:rPr>
        <w:t>.</w:t>
      </w:r>
    </w:p>
    <w:p w14:paraId="0D76B675" w14:textId="0067D41B" w:rsidR="004803EB" w:rsidRPr="00001948" w:rsidRDefault="004803EB" w:rsidP="00001948">
      <w:pPr>
        <w:pStyle w:val="Loendilik"/>
        <w:numPr>
          <w:ilvl w:val="0"/>
          <w:numId w:val="2"/>
        </w:numPr>
        <w:jc w:val="both"/>
        <w:rPr>
          <w:rFonts w:ascii="Times New Roman" w:hAnsi="Times New Roman" w:cs="Times New Roman"/>
          <w:b/>
          <w:bCs/>
        </w:rPr>
      </w:pPr>
      <w:r w:rsidRPr="00001948">
        <w:rPr>
          <w:rFonts w:ascii="Times New Roman" w:hAnsi="Times New Roman" w:cs="Times New Roman"/>
          <w:b/>
          <w:bCs/>
        </w:rPr>
        <w:t>Eelnõu § 2 p</w:t>
      </w:r>
      <w:r w:rsidR="00CC18D4">
        <w:rPr>
          <w:rFonts w:ascii="Times New Roman" w:hAnsi="Times New Roman" w:cs="Times New Roman"/>
          <w:b/>
          <w:bCs/>
        </w:rPr>
        <w:t>-d 1-4</w:t>
      </w:r>
      <w:r w:rsidR="000F7CE1">
        <w:rPr>
          <w:rFonts w:ascii="Times New Roman" w:hAnsi="Times New Roman" w:cs="Times New Roman"/>
          <w:b/>
          <w:bCs/>
        </w:rPr>
        <w:t xml:space="preserve"> </w:t>
      </w:r>
      <w:r w:rsidRPr="00001948">
        <w:rPr>
          <w:rFonts w:ascii="Times New Roman" w:hAnsi="Times New Roman" w:cs="Times New Roman"/>
          <w:b/>
          <w:bCs/>
        </w:rPr>
        <w:t>(</w:t>
      </w:r>
      <w:r w:rsidR="00001948">
        <w:rPr>
          <w:rFonts w:ascii="Times New Roman" w:hAnsi="Times New Roman" w:cs="Times New Roman"/>
          <w:b/>
          <w:bCs/>
        </w:rPr>
        <w:t>k</w:t>
      </w:r>
      <w:r w:rsidR="00001948" w:rsidRPr="00001948">
        <w:rPr>
          <w:rFonts w:ascii="Times New Roman" w:hAnsi="Times New Roman" w:cs="Times New Roman"/>
          <w:b/>
          <w:bCs/>
        </w:rPr>
        <w:t>ui pankrotimenetluses esitatud nõue põhineb maksekäsul või tagaseljaotsusel, nõu</w:t>
      </w:r>
      <w:r w:rsidR="00001948">
        <w:rPr>
          <w:rFonts w:ascii="Times New Roman" w:hAnsi="Times New Roman" w:cs="Times New Roman"/>
          <w:b/>
          <w:bCs/>
        </w:rPr>
        <w:t>ab haldur</w:t>
      </w:r>
      <w:r w:rsidR="00001948" w:rsidRPr="00001948">
        <w:rPr>
          <w:rFonts w:ascii="Times New Roman" w:hAnsi="Times New Roman" w:cs="Times New Roman"/>
          <w:b/>
          <w:bCs/>
        </w:rPr>
        <w:t xml:space="preserve"> lisadokumentide esitamist, mis tõendavad tarbijakrediidilepingu kehtivust, krediidi kulukuse määra õigsust ning vastutustundliku laenamise põhimõtte järgimist (sealhulgas krediidivõimelisuse </w:t>
      </w:r>
      <w:r w:rsidR="00001948" w:rsidRPr="00001948">
        <w:rPr>
          <w:rFonts w:ascii="Times New Roman" w:hAnsi="Times New Roman" w:cs="Times New Roman"/>
          <w:b/>
          <w:bCs/>
        </w:rPr>
        <w:lastRenderedPageBreak/>
        <w:t>hindamist</w:t>
      </w:r>
      <w:r w:rsidR="00CC18D4">
        <w:rPr>
          <w:rFonts w:ascii="Times New Roman" w:hAnsi="Times New Roman" w:cs="Times New Roman"/>
          <w:b/>
          <w:bCs/>
        </w:rPr>
        <w:t>, nimekiri dokumentidest, mis tuleb haldurile esitada, tagaseljaotsused ei ole edaspidi kaitsmiseta tunnustatud</w:t>
      </w:r>
      <w:r w:rsidR="00001948" w:rsidRPr="00001948">
        <w:rPr>
          <w:rFonts w:ascii="Times New Roman" w:hAnsi="Times New Roman" w:cs="Times New Roman"/>
          <w:b/>
          <w:bCs/>
        </w:rPr>
        <w:t>).</w:t>
      </w:r>
    </w:p>
    <w:p w14:paraId="52AB6EC8" w14:textId="72967747" w:rsidR="004803EB" w:rsidRDefault="004803EB" w:rsidP="004803EB">
      <w:pPr>
        <w:pStyle w:val="Loendilik"/>
        <w:jc w:val="both"/>
        <w:rPr>
          <w:rFonts w:ascii="Times New Roman" w:hAnsi="Times New Roman" w:cs="Times New Roman"/>
        </w:rPr>
      </w:pPr>
      <w:r>
        <w:rPr>
          <w:rFonts w:ascii="Times New Roman" w:hAnsi="Times New Roman" w:cs="Times New Roman"/>
        </w:rPr>
        <w:t>Puudutab mh maksekäske ja tagaseljaotsuseid. Küsimusi tekitab tagaseljaotsuste täiendav kontroll</w:t>
      </w:r>
      <w:r w:rsidR="007F2EDE">
        <w:rPr>
          <w:rFonts w:ascii="Times New Roman" w:hAnsi="Times New Roman" w:cs="Times New Roman"/>
        </w:rPr>
        <w:t xml:space="preserve"> pankrotimenetluses</w:t>
      </w:r>
      <w:r>
        <w:rPr>
          <w:rFonts w:ascii="Times New Roman" w:hAnsi="Times New Roman" w:cs="Times New Roman"/>
        </w:rPr>
        <w:t xml:space="preserve">. </w:t>
      </w:r>
      <w:r w:rsidR="008B72C1">
        <w:rPr>
          <w:rFonts w:ascii="Times New Roman" w:hAnsi="Times New Roman" w:cs="Times New Roman"/>
        </w:rPr>
        <w:t xml:space="preserve">Täielikult käsitlemata on võlgade ümberkujundamise menetlus. </w:t>
      </w:r>
      <w:r w:rsidR="007F2EDE">
        <w:rPr>
          <w:rFonts w:ascii="Times New Roman" w:hAnsi="Times New Roman" w:cs="Times New Roman"/>
        </w:rPr>
        <w:t xml:space="preserve">Tagaseljaotsus ei ole võrreldav maksekäsuga. Tagaseljaotsuse tegemine on kohtu diskretsiooniotsus ning seda võib teha üksnes õiguslikult põhjendatud juhtudel, mitte ei ole automaatne tagajärg olukorras, kus kostja hagile ei vasta. </w:t>
      </w:r>
      <w:r w:rsidR="007738EF">
        <w:rPr>
          <w:rFonts w:ascii="Times New Roman" w:hAnsi="Times New Roman" w:cs="Times New Roman"/>
        </w:rPr>
        <w:t>See tähendab, et t</w:t>
      </w:r>
      <w:r w:rsidR="007F2EDE">
        <w:rPr>
          <w:rFonts w:ascii="Times New Roman" w:hAnsi="Times New Roman" w:cs="Times New Roman"/>
        </w:rPr>
        <w:t xml:space="preserve">agaseljaotsusega ei anta nõudele „täitedokumenti vormi“. </w:t>
      </w:r>
    </w:p>
    <w:p w14:paraId="1F7933B9" w14:textId="5527C97D" w:rsidR="007F2EDE" w:rsidRDefault="007F2EDE" w:rsidP="007F2EDE">
      <w:pPr>
        <w:pStyle w:val="Loendilik"/>
        <w:jc w:val="both"/>
        <w:rPr>
          <w:rFonts w:ascii="Times New Roman" w:hAnsi="Times New Roman" w:cs="Times New Roman"/>
        </w:rPr>
      </w:pPr>
      <w:r>
        <w:rPr>
          <w:rFonts w:ascii="Times New Roman" w:hAnsi="Times New Roman" w:cs="Times New Roman"/>
        </w:rPr>
        <w:t xml:space="preserve">Eelnõus puudub igasugune analüüs või selgitused, samuti viited, millele tuginedes leiti, </w:t>
      </w:r>
      <w:r w:rsidRPr="007F2EDE">
        <w:rPr>
          <w:rFonts w:ascii="Times New Roman" w:hAnsi="Times New Roman" w:cs="Times New Roman"/>
        </w:rPr>
        <w:t xml:space="preserve"> miks tuleb tagaseljaotsuseid pankrotihalduritel ja kohtutel pankrotimenetluses kontrollida. </w:t>
      </w:r>
      <w:r w:rsidR="007738EF">
        <w:rPr>
          <w:rFonts w:ascii="Times New Roman" w:hAnsi="Times New Roman" w:cs="Times New Roman"/>
        </w:rPr>
        <w:t xml:space="preserve">Samas ei ole käsitletud, millal ja kuidas tuleb usaldusisikutel kontrollida nõudeid võlgade ümberkujundamise menetluses. </w:t>
      </w:r>
      <w:r w:rsidRPr="007F2EDE">
        <w:rPr>
          <w:rFonts w:ascii="Times New Roman" w:hAnsi="Times New Roman" w:cs="Times New Roman"/>
        </w:rPr>
        <w:t>Täielikult on arvestamata asjaoluga, millistel juhtudel kohtu</w:t>
      </w:r>
      <w:r>
        <w:rPr>
          <w:rFonts w:ascii="Times New Roman" w:hAnsi="Times New Roman" w:cs="Times New Roman"/>
        </w:rPr>
        <w:t>d</w:t>
      </w:r>
      <w:r w:rsidRPr="007F2EDE">
        <w:rPr>
          <w:rFonts w:ascii="Times New Roman" w:hAnsi="Times New Roman" w:cs="Times New Roman"/>
        </w:rPr>
        <w:t xml:space="preserve"> tagaseljaotsuseid teevad. Seega ei saa ilma täiendava analüüsi või põhjenduseta panna pankrotihaldureid olukorda, kus neil tuleb hakata üle kontrollima tagaseljaotsuseid</w:t>
      </w:r>
      <w:r w:rsidR="000F32A6">
        <w:rPr>
          <w:rFonts w:ascii="Times New Roman" w:hAnsi="Times New Roman" w:cs="Times New Roman"/>
        </w:rPr>
        <w:t>.</w:t>
      </w:r>
      <w:r w:rsidR="007738EF">
        <w:rPr>
          <w:rFonts w:ascii="Times New Roman" w:hAnsi="Times New Roman" w:cs="Times New Roman"/>
        </w:rPr>
        <w:t xml:space="preserve"> Ka puudub analüüs, kuidas muudatus „kiirendab“ ja „optimeerib“ kohtute tööd.</w:t>
      </w:r>
    </w:p>
    <w:p w14:paraId="479A8309" w14:textId="2E4F11A1" w:rsidR="000F32A6" w:rsidRPr="006E3E1E" w:rsidRDefault="000F32A6" w:rsidP="000F32A6">
      <w:pPr>
        <w:pStyle w:val="Loendilik"/>
        <w:numPr>
          <w:ilvl w:val="0"/>
          <w:numId w:val="2"/>
        </w:numPr>
        <w:jc w:val="both"/>
        <w:rPr>
          <w:rFonts w:ascii="Times New Roman" w:hAnsi="Times New Roman" w:cs="Times New Roman"/>
          <w:b/>
          <w:bCs/>
        </w:rPr>
      </w:pPr>
      <w:r>
        <w:rPr>
          <w:rFonts w:ascii="Times New Roman" w:hAnsi="Times New Roman" w:cs="Times New Roman"/>
          <w:b/>
          <w:bCs/>
        </w:rPr>
        <w:t>Eelnõu § 3 p</w:t>
      </w:r>
      <w:r w:rsidR="0099381A">
        <w:rPr>
          <w:rFonts w:ascii="Times New Roman" w:hAnsi="Times New Roman" w:cs="Times New Roman"/>
          <w:b/>
          <w:bCs/>
        </w:rPr>
        <w:t>-d</w:t>
      </w:r>
      <w:r>
        <w:rPr>
          <w:rFonts w:ascii="Times New Roman" w:hAnsi="Times New Roman" w:cs="Times New Roman"/>
          <w:b/>
          <w:bCs/>
        </w:rPr>
        <w:t xml:space="preserve"> 1</w:t>
      </w:r>
      <w:r w:rsidR="0099381A">
        <w:rPr>
          <w:rFonts w:ascii="Times New Roman" w:hAnsi="Times New Roman" w:cs="Times New Roman"/>
          <w:b/>
          <w:bCs/>
        </w:rPr>
        <w:t xml:space="preserve"> ja 2</w:t>
      </w:r>
      <w:r w:rsidR="00CF30E6">
        <w:rPr>
          <w:rFonts w:ascii="Times New Roman" w:hAnsi="Times New Roman" w:cs="Times New Roman"/>
          <w:b/>
          <w:bCs/>
        </w:rPr>
        <w:t xml:space="preserve"> (</w:t>
      </w:r>
      <w:r w:rsidR="006E3E1E">
        <w:rPr>
          <w:rFonts w:ascii="Times New Roman" w:hAnsi="Times New Roman" w:cs="Times New Roman"/>
          <w:b/>
          <w:bCs/>
        </w:rPr>
        <w:t>määrus loetakse kättetoimetatuks, kui Eesti Advokatuur kinnitab riigi õigusabi infosüsteemis selle vastuvõtmist)</w:t>
      </w:r>
      <w:r w:rsidR="0099381A">
        <w:rPr>
          <w:rFonts w:ascii="Times New Roman" w:hAnsi="Times New Roman" w:cs="Times New Roman"/>
          <w:b/>
          <w:bCs/>
        </w:rPr>
        <w:t>.</w:t>
      </w:r>
    </w:p>
    <w:p w14:paraId="0D2B1F33" w14:textId="456F29F1" w:rsidR="006E3E1E" w:rsidRDefault="006E3E1E" w:rsidP="006E3E1E">
      <w:pPr>
        <w:pStyle w:val="Loendilik"/>
        <w:jc w:val="both"/>
        <w:rPr>
          <w:rFonts w:ascii="Times New Roman" w:hAnsi="Times New Roman" w:cs="Times New Roman"/>
        </w:rPr>
      </w:pPr>
      <w:r>
        <w:rPr>
          <w:rFonts w:ascii="Times New Roman" w:hAnsi="Times New Roman" w:cs="Times New Roman"/>
        </w:rPr>
        <w:t>Ei ole muudatuse vastu, kuid</w:t>
      </w:r>
      <w:r w:rsidR="00385271">
        <w:rPr>
          <w:rFonts w:ascii="Times New Roman" w:hAnsi="Times New Roman" w:cs="Times New Roman"/>
        </w:rPr>
        <w:t xml:space="preserve"> märgin, et</w:t>
      </w:r>
      <w:r>
        <w:rPr>
          <w:rFonts w:ascii="Times New Roman" w:hAnsi="Times New Roman" w:cs="Times New Roman"/>
        </w:rPr>
        <w:t xml:space="preserve"> kohtutele jääb õigus edastada määruseid e</w:t>
      </w:r>
      <w:r w:rsidR="00385271">
        <w:rPr>
          <w:rFonts w:ascii="Times New Roman" w:hAnsi="Times New Roman" w:cs="Times New Roman"/>
        </w:rPr>
        <w:noBreakHyphen/>
      </w:r>
      <w:r>
        <w:rPr>
          <w:rFonts w:ascii="Times New Roman" w:hAnsi="Times New Roman" w:cs="Times New Roman"/>
        </w:rPr>
        <w:t xml:space="preserve">postiga, kui riigi õigusabi infosüsteemist vastuvõtukinnitust </w:t>
      </w:r>
      <w:r w:rsidR="000D4967">
        <w:rPr>
          <w:rFonts w:ascii="Times New Roman" w:hAnsi="Times New Roman" w:cs="Times New Roman"/>
        </w:rPr>
        <w:t xml:space="preserve">(nt tehnilistel põhjustel) </w:t>
      </w:r>
      <w:r>
        <w:rPr>
          <w:rFonts w:ascii="Times New Roman" w:hAnsi="Times New Roman" w:cs="Times New Roman"/>
        </w:rPr>
        <w:t>ei tule.</w:t>
      </w:r>
    </w:p>
    <w:p w14:paraId="07404FF8" w14:textId="192E8FA0" w:rsidR="00E6614E" w:rsidRPr="0099381A" w:rsidRDefault="0099381A" w:rsidP="00E6614E">
      <w:pPr>
        <w:pStyle w:val="Loendilik"/>
        <w:numPr>
          <w:ilvl w:val="0"/>
          <w:numId w:val="2"/>
        </w:numPr>
        <w:jc w:val="both"/>
        <w:rPr>
          <w:rFonts w:ascii="Times New Roman" w:hAnsi="Times New Roman" w:cs="Times New Roman"/>
          <w:b/>
          <w:bCs/>
        </w:rPr>
      </w:pPr>
      <w:r w:rsidRPr="0099381A">
        <w:rPr>
          <w:rFonts w:ascii="Times New Roman" w:hAnsi="Times New Roman" w:cs="Times New Roman"/>
          <w:b/>
          <w:bCs/>
        </w:rPr>
        <w:t xml:space="preserve">Eelnõu </w:t>
      </w:r>
      <w:r w:rsidR="00C069D3">
        <w:rPr>
          <w:rFonts w:ascii="Times New Roman" w:hAnsi="Times New Roman" w:cs="Times New Roman"/>
          <w:b/>
          <w:bCs/>
        </w:rPr>
        <w:t xml:space="preserve">§ </w:t>
      </w:r>
      <w:r w:rsidRPr="0099381A">
        <w:rPr>
          <w:rFonts w:ascii="Times New Roman" w:hAnsi="Times New Roman" w:cs="Times New Roman"/>
          <w:b/>
          <w:bCs/>
        </w:rPr>
        <w:t>3 p 3 (</w:t>
      </w:r>
      <w:r>
        <w:rPr>
          <w:rFonts w:ascii="Times New Roman" w:hAnsi="Times New Roman" w:cs="Times New Roman"/>
          <w:b/>
          <w:bCs/>
        </w:rPr>
        <w:t>t</w:t>
      </w:r>
      <w:r w:rsidR="00E6614E" w:rsidRPr="0099381A">
        <w:rPr>
          <w:rFonts w:ascii="Times New Roman" w:hAnsi="Times New Roman" w:cs="Times New Roman"/>
          <w:b/>
          <w:bCs/>
        </w:rPr>
        <w:t xml:space="preserve">unnistatakse kehtetuks </w:t>
      </w:r>
      <w:r>
        <w:rPr>
          <w:rFonts w:ascii="Times New Roman" w:hAnsi="Times New Roman" w:cs="Times New Roman"/>
          <w:b/>
          <w:bCs/>
        </w:rPr>
        <w:t>RÕS § 32 lg 3</w:t>
      </w:r>
      <w:r w:rsidR="00E6614E" w:rsidRPr="0099381A">
        <w:rPr>
          <w:rFonts w:ascii="Times New Roman" w:hAnsi="Times New Roman" w:cs="Times New Roman"/>
          <w:b/>
          <w:bCs/>
        </w:rPr>
        <w:t>, mille kohaselt esitatakse Justiits- ja Digiministeeriumile ülevaade riigi õigusabi tasu ja kulude hüvitamiskohustusega isikutelt sissenõudmise kohta</w:t>
      </w:r>
      <w:r>
        <w:rPr>
          <w:rFonts w:ascii="Times New Roman" w:hAnsi="Times New Roman" w:cs="Times New Roman"/>
          <w:b/>
          <w:bCs/>
        </w:rPr>
        <w:t>)</w:t>
      </w:r>
      <w:r w:rsidR="00E6614E" w:rsidRPr="0099381A">
        <w:rPr>
          <w:rFonts w:ascii="Times New Roman" w:hAnsi="Times New Roman" w:cs="Times New Roman"/>
          <w:b/>
          <w:bCs/>
        </w:rPr>
        <w:t>.</w:t>
      </w:r>
    </w:p>
    <w:p w14:paraId="308511FA" w14:textId="509E5A5D" w:rsidR="00E6614E" w:rsidRDefault="00E6614E" w:rsidP="00E6614E">
      <w:pPr>
        <w:pStyle w:val="Loendilik"/>
        <w:jc w:val="both"/>
        <w:rPr>
          <w:rFonts w:ascii="Times New Roman" w:hAnsi="Times New Roman" w:cs="Times New Roman"/>
        </w:rPr>
      </w:pPr>
      <w:r>
        <w:rPr>
          <w:rFonts w:ascii="Times New Roman" w:hAnsi="Times New Roman" w:cs="Times New Roman"/>
        </w:rPr>
        <w:t xml:space="preserve">Ei </w:t>
      </w:r>
      <w:r w:rsidR="00C069D3">
        <w:rPr>
          <w:rFonts w:ascii="Times New Roman" w:hAnsi="Times New Roman" w:cs="Times New Roman"/>
        </w:rPr>
        <w:t>ole vastuväiteid.</w:t>
      </w:r>
    </w:p>
    <w:p w14:paraId="39631417" w14:textId="6E21E94C" w:rsidR="00E6614E" w:rsidRPr="00A224CB" w:rsidRDefault="00C069D3" w:rsidP="00F926F6">
      <w:pPr>
        <w:pStyle w:val="Loendilik"/>
        <w:numPr>
          <w:ilvl w:val="0"/>
          <w:numId w:val="2"/>
        </w:numPr>
        <w:jc w:val="both"/>
        <w:rPr>
          <w:rFonts w:ascii="Times New Roman" w:hAnsi="Times New Roman" w:cs="Times New Roman"/>
          <w:b/>
          <w:bCs/>
        </w:rPr>
      </w:pPr>
      <w:r>
        <w:rPr>
          <w:rFonts w:ascii="Times New Roman" w:hAnsi="Times New Roman" w:cs="Times New Roman"/>
          <w:b/>
          <w:bCs/>
        </w:rPr>
        <w:t xml:space="preserve">Eelnõu § </w:t>
      </w:r>
      <w:r w:rsidR="0012304D">
        <w:rPr>
          <w:rFonts w:ascii="Times New Roman" w:hAnsi="Times New Roman" w:cs="Times New Roman"/>
          <w:b/>
          <w:bCs/>
        </w:rPr>
        <w:t>4</w:t>
      </w:r>
      <w:r>
        <w:rPr>
          <w:rFonts w:ascii="Times New Roman" w:hAnsi="Times New Roman" w:cs="Times New Roman"/>
          <w:b/>
          <w:bCs/>
        </w:rPr>
        <w:t xml:space="preserve"> p </w:t>
      </w:r>
      <w:r w:rsidR="0012304D">
        <w:rPr>
          <w:rFonts w:ascii="Times New Roman" w:hAnsi="Times New Roman" w:cs="Times New Roman"/>
          <w:b/>
          <w:bCs/>
        </w:rPr>
        <w:t>1 ja § 5 p</w:t>
      </w:r>
      <w:r w:rsidR="00F926F6">
        <w:rPr>
          <w:rFonts w:ascii="Times New Roman" w:hAnsi="Times New Roman" w:cs="Times New Roman"/>
          <w:b/>
          <w:bCs/>
        </w:rPr>
        <w:t>-d 1-3 (a</w:t>
      </w:r>
      <w:r w:rsidR="00E6614E" w:rsidRPr="00F926F6">
        <w:rPr>
          <w:rFonts w:ascii="Times New Roman" w:hAnsi="Times New Roman" w:cs="Times New Roman"/>
          <w:b/>
          <w:bCs/>
        </w:rPr>
        <w:t>ntakse täitemenetluses olevatele võlgnikele, kelle suhtes on tarbijakrediidilepingust tuleneva nõude alusel tehtud maksekäsk või tagaseljaotsus ning algatatud sundtäitmine, võimalus esitada see nõue uuesti kohtulikule kontrollile</w:t>
      </w:r>
      <w:r w:rsidR="00F926F6">
        <w:rPr>
          <w:rFonts w:ascii="Times New Roman" w:hAnsi="Times New Roman" w:cs="Times New Roman"/>
          <w:b/>
          <w:bCs/>
        </w:rPr>
        <w:t>)</w:t>
      </w:r>
      <w:r w:rsidR="00E6614E" w:rsidRPr="00F926F6">
        <w:rPr>
          <w:rFonts w:ascii="Times New Roman" w:hAnsi="Times New Roman" w:cs="Times New Roman"/>
          <w:b/>
          <w:bCs/>
        </w:rPr>
        <w:t xml:space="preserve">. </w:t>
      </w:r>
    </w:p>
    <w:p w14:paraId="0A75D6CD" w14:textId="16551DA7" w:rsidR="00A224CB" w:rsidRPr="00F926F6" w:rsidRDefault="00A224CB" w:rsidP="00A224CB">
      <w:pPr>
        <w:pStyle w:val="Loendilik"/>
        <w:jc w:val="both"/>
        <w:rPr>
          <w:rFonts w:ascii="Times New Roman" w:hAnsi="Times New Roman" w:cs="Times New Roman"/>
          <w:b/>
          <w:bCs/>
        </w:rPr>
      </w:pPr>
      <w:r>
        <w:rPr>
          <w:rFonts w:ascii="Times New Roman" w:hAnsi="Times New Roman" w:cs="Times New Roman"/>
        </w:rPr>
        <w:t>Ei ole põhimõtteliselt ideele vastu, kuid praegusel juhul on analüüs äärmiselt</w:t>
      </w:r>
      <w:r w:rsidR="00A916C7">
        <w:rPr>
          <w:rFonts w:ascii="Times New Roman" w:hAnsi="Times New Roman" w:cs="Times New Roman"/>
        </w:rPr>
        <w:t xml:space="preserve"> puudulik. </w:t>
      </w:r>
      <w:r w:rsidR="00FF2ECF">
        <w:rPr>
          <w:rFonts w:ascii="Times New Roman" w:hAnsi="Times New Roman" w:cs="Times New Roman"/>
        </w:rPr>
        <w:t>S</w:t>
      </w:r>
      <w:r w:rsidR="004661AC">
        <w:rPr>
          <w:rFonts w:ascii="Times New Roman" w:hAnsi="Times New Roman" w:cs="Times New Roman"/>
        </w:rPr>
        <w:t xml:space="preserve">isuliselt võib muudatus tuua kaasa selle, et iga kord, kui kohus teeb tarbijakrediidilepingu asjas tagaseljaotsuse, siis võib </w:t>
      </w:r>
      <w:r w:rsidR="00FF2ECF">
        <w:rPr>
          <w:rFonts w:ascii="Times New Roman" w:hAnsi="Times New Roman" w:cs="Times New Roman"/>
        </w:rPr>
        <w:t xml:space="preserve">võlgnik esitada selle sundtäitmise lubamatuks tunnistamise hagi? Arvestades, et eelnõu eesmärk oli kohtute tööd optimeerida, siis mingil põhjusel ei ole eelnõu seletuskirjas selgitatud, kuidas selline </w:t>
      </w:r>
      <w:r w:rsidR="00D05786">
        <w:rPr>
          <w:rFonts w:ascii="Times New Roman" w:hAnsi="Times New Roman" w:cs="Times New Roman"/>
        </w:rPr>
        <w:t>muudatus kohtute töökoormusele mõju omab. Julgen kahelda, et see töökoormust vähendab.</w:t>
      </w:r>
    </w:p>
    <w:p w14:paraId="7D6DCC3B" w14:textId="77777777" w:rsidR="00AC1D29" w:rsidRPr="00AC1D29" w:rsidRDefault="00AC1D29" w:rsidP="00AC1D29">
      <w:pPr>
        <w:pStyle w:val="Loendilik"/>
        <w:jc w:val="both"/>
        <w:rPr>
          <w:rFonts w:ascii="Times New Roman" w:hAnsi="Times New Roman" w:cs="Times New Roman"/>
        </w:rPr>
      </w:pPr>
    </w:p>
    <w:p w14:paraId="392FC3DB" w14:textId="0AC19A52" w:rsidR="00AC1D29" w:rsidRPr="00AC1D29" w:rsidRDefault="00AC1D29" w:rsidP="00AC1D29">
      <w:pPr>
        <w:pStyle w:val="Loendilik"/>
        <w:jc w:val="both"/>
        <w:rPr>
          <w:rFonts w:ascii="Times New Roman" w:hAnsi="Times New Roman" w:cs="Times New Roman"/>
          <w:b/>
          <w:bCs/>
        </w:rPr>
      </w:pPr>
      <w:r w:rsidRPr="00AC1D29">
        <w:rPr>
          <w:rFonts w:ascii="Times New Roman" w:hAnsi="Times New Roman" w:cs="Times New Roman"/>
          <w:b/>
          <w:bCs/>
        </w:rPr>
        <w:cr/>
      </w:r>
    </w:p>
    <w:sectPr w:rsidR="00AC1D29" w:rsidRPr="00AC1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5B5E"/>
    <w:multiLevelType w:val="hybridMultilevel"/>
    <w:tmpl w:val="92C2A244"/>
    <w:lvl w:ilvl="0" w:tplc="BA749A3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726443E"/>
    <w:multiLevelType w:val="hybridMultilevel"/>
    <w:tmpl w:val="364C6798"/>
    <w:lvl w:ilvl="0" w:tplc="8818984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7A2209C"/>
    <w:multiLevelType w:val="hybridMultilevel"/>
    <w:tmpl w:val="07267CA6"/>
    <w:lvl w:ilvl="0" w:tplc="D79651CA">
      <w:start w:val="8"/>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506406769">
    <w:abstractNumId w:val="1"/>
  </w:num>
  <w:num w:numId="2" w16cid:durableId="414085376">
    <w:abstractNumId w:val="0"/>
  </w:num>
  <w:num w:numId="3" w16cid:durableId="738019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29"/>
    <w:rsid w:val="00001948"/>
    <w:rsid w:val="000D4967"/>
    <w:rsid w:val="000E4BB4"/>
    <w:rsid w:val="000F32A6"/>
    <w:rsid w:val="000F7CE1"/>
    <w:rsid w:val="0012304D"/>
    <w:rsid w:val="0016730B"/>
    <w:rsid w:val="001C0A61"/>
    <w:rsid w:val="002B16DF"/>
    <w:rsid w:val="00340C5F"/>
    <w:rsid w:val="00385271"/>
    <w:rsid w:val="00450C7D"/>
    <w:rsid w:val="004661AC"/>
    <w:rsid w:val="004803EB"/>
    <w:rsid w:val="005703B4"/>
    <w:rsid w:val="00620A14"/>
    <w:rsid w:val="006368AE"/>
    <w:rsid w:val="00670F23"/>
    <w:rsid w:val="00683C78"/>
    <w:rsid w:val="006E3E1E"/>
    <w:rsid w:val="00707550"/>
    <w:rsid w:val="0075636E"/>
    <w:rsid w:val="007738EF"/>
    <w:rsid w:val="007F2EDE"/>
    <w:rsid w:val="008339DE"/>
    <w:rsid w:val="008B72C1"/>
    <w:rsid w:val="008E4FD7"/>
    <w:rsid w:val="008F0FA7"/>
    <w:rsid w:val="0099381A"/>
    <w:rsid w:val="00A224CB"/>
    <w:rsid w:val="00A26EE3"/>
    <w:rsid w:val="00A743BC"/>
    <w:rsid w:val="00A916C7"/>
    <w:rsid w:val="00AC0D39"/>
    <w:rsid w:val="00AC1D29"/>
    <w:rsid w:val="00B85440"/>
    <w:rsid w:val="00C069D3"/>
    <w:rsid w:val="00CC18D4"/>
    <w:rsid w:val="00CF30E6"/>
    <w:rsid w:val="00D05786"/>
    <w:rsid w:val="00E6614E"/>
    <w:rsid w:val="00EE2F65"/>
    <w:rsid w:val="00F6673A"/>
    <w:rsid w:val="00F926F6"/>
    <w:rsid w:val="00FF2E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DE28"/>
  <w15:chartTrackingRefBased/>
  <w15:docId w15:val="{054F0C6F-58AE-4AB9-BC79-A5AF5950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C1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C1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C1D2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C1D2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C1D2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C1D2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1D2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1D2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1D2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C1D2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C1D2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C1D2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C1D2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C1D2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C1D2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C1D2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C1D2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C1D2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1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C1D2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C1D2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C1D2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1D29"/>
    <w:pPr>
      <w:spacing w:before="160"/>
      <w:jc w:val="center"/>
    </w:pPr>
    <w:rPr>
      <w:i/>
      <w:iCs/>
      <w:color w:val="404040" w:themeColor="text1" w:themeTint="BF"/>
    </w:rPr>
  </w:style>
  <w:style w:type="character" w:customStyle="1" w:styleId="TsitaatMrk">
    <w:name w:val="Tsitaat Märk"/>
    <w:basedOn w:val="Liguvaikefont"/>
    <w:link w:val="Tsitaat"/>
    <w:uiPriority w:val="29"/>
    <w:rsid w:val="00AC1D29"/>
    <w:rPr>
      <w:i/>
      <w:iCs/>
      <w:color w:val="404040" w:themeColor="text1" w:themeTint="BF"/>
    </w:rPr>
  </w:style>
  <w:style w:type="paragraph" w:styleId="Loendilik">
    <w:name w:val="List Paragraph"/>
    <w:basedOn w:val="Normaallaad"/>
    <w:uiPriority w:val="34"/>
    <w:qFormat/>
    <w:rsid w:val="00AC1D29"/>
    <w:pPr>
      <w:ind w:left="720"/>
      <w:contextualSpacing/>
    </w:pPr>
  </w:style>
  <w:style w:type="character" w:styleId="Selgeltmrgatavrhutus">
    <w:name w:val="Intense Emphasis"/>
    <w:basedOn w:val="Liguvaikefont"/>
    <w:uiPriority w:val="21"/>
    <w:qFormat/>
    <w:rsid w:val="00AC1D29"/>
    <w:rPr>
      <w:i/>
      <w:iCs/>
      <w:color w:val="0F4761" w:themeColor="accent1" w:themeShade="BF"/>
    </w:rPr>
  </w:style>
  <w:style w:type="paragraph" w:styleId="Selgeltmrgatavtsitaat">
    <w:name w:val="Intense Quote"/>
    <w:basedOn w:val="Normaallaad"/>
    <w:next w:val="Normaallaad"/>
    <w:link w:val="SelgeltmrgatavtsitaatMrk"/>
    <w:uiPriority w:val="30"/>
    <w:qFormat/>
    <w:rsid w:val="00AC1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C1D29"/>
    <w:rPr>
      <w:i/>
      <w:iCs/>
      <w:color w:val="0F4761" w:themeColor="accent1" w:themeShade="BF"/>
    </w:rPr>
  </w:style>
  <w:style w:type="character" w:styleId="Selgeltmrgatavviide">
    <w:name w:val="Intense Reference"/>
    <w:basedOn w:val="Liguvaikefont"/>
    <w:uiPriority w:val="32"/>
    <w:qFormat/>
    <w:rsid w:val="00AC1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6659</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Teelahk - VMK</dc:creator>
  <cp:keywords/>
  <dc:description/>
  <cp:lastModifiedBy>Angelina Abol - VMK</cp:lastModifiedBy>
  <cp:revision>4</cp:revision>
  <dcterms:created xsi:type="dcterms:W3CDTF">2025-08-28T05:36:00Z</dcterms:created>
  <dcterms:modified xsi:type="dcterms:W3CDTF">2025-08-29T06:52:00Z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2025-08-18T10:35:47Z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f62ed65e-6a3e-4f57-8691-98a413d87c99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